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10E06C4">
      <w:pPr>
        <w:snapToGrid w:val="0"/>
        <w:spacing w:line="56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</w:t>
      </w:r>
    </w:p>
    <w:p w14:paraId="206F3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9"/>
          <w:rFonts w:hint="default" w:ascii="Times New Roman" w:hAnsi="Times New Roman" w:eastAsia="方正小标宋_GBK" w:cs="Times New Roman"/>
          <w:color w:val="auto"/>
          <w:w w:val="98"/>
          <w:sz w:val="44"/>
          <w:szCs w:val="44"/>
        </w:rPr>
      </w:pPr>
      <w:r>
        <w:rPr>
          <w:rStyle w:val="19"/>
          <w:rFonts w:hint="default" w:ascii="Times New Roman" w:hAnsi="Times New Roman" w:eastAsia="方正小标宋_GBK" w:cs="Times New Roman"/>
          <w:color w:val="auto"/>
          <w:w w:val="98"/>
          <w:sz w:val="44"/>
          <w:szCs w:val="44"/>
        </w:rPr>
        <w:t>重庆市城市管理局</w:t>
      </w:r>
    </w:p>
    <w:p w14:paraId="6C6A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关于印发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_GBK"/>
          <w:sz w:val="44"/>
          <w:szCs w:val="44"/>
        </w:rPr>
        <w:t>重庆市城市公园配套服务项目</w:t>
      </w:r>
    </w:p>
    <w:p w14:paraId="0099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经营管理办法（试行）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》</w:t>
      </w:r>
      <w:r>
        <w:rPr>
          <w:rFonts w:ascii="Times New Roman" w:hAnsi="Times New Roman" w:eastAsia="方正小标宋_GBK"/>
          <w:sz w:val="44"/>
          <w:szCs w:val="44"/>
        </w:rPr>
        <w:t>的通知</w:t>
      </w:r>
    </w:p>
    <w:p w14:paraId="13F1AE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/>
        </w:rPr>
      </w:pPr>
      <mc:AlternateContent>
        <mc:Choice Requires="wpsCustomData">
          <wpsCustomData:docfieldStart id="0" docfieldname="发文机关代字" hidden="0" print="1" readonly="0" index="1"/>
        </mc:Choice>
      </mc:AlternateContent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渝城管局发</w:t>
      </w:r>
      <mc:AlternateContent>
        <mc:Choice Requires="wpsCustomData">
          <wpsCustomData:docfieldEnd id="0"/>
        </mc:Choice>
      </mc:AlternateContent>
      <w:r>
        <w:rPr>
          <w:rFonts w:hint="eastAsia" w:ascii="Times New Roman" w:hAnsi="Times New Roman" w:eastAsia="方正仿宋_GBK"/>
          <w:sz w:val="32"/>
          <w:szCs w:val="32"/>
        </w:rPr>
        <w:t>〔</w:t>
      </w:r>
      <mc:AlternateContent>
        <mc:Choice Requires="wpsCustomData">
          <wpsCustomData:docfieldStart id="1" docfieldname="年份" hidden="0" print="1" readonly="0" index="2"/>
        </mc:Choice>
      </mc:AlternateContent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2026</w:t>
      </w:r>
      <mc:AlternateContent>
        <mc:Choice Requires="wpsCustomData">
          <wpsCustomData:docfieldEnd id="1"/>
        </mc:Choice>
      </mc:AlternateContent>
      <w:r>
        <w:rPr>
          <w:rFonts w:hint="eastAsia" w:ascii="Times New Roman" w:hAnsi="Times New Roman" w:eastAsia="方正仿宋_GBK"/>
          <w:sz w:val="32"/>
          <w:szCs w:val="32"/>
        </w:rPr>
        <w:t>〕</w:t>
      </w:r>
      <mc:AlternateContent>
        <mc:Choice Requires="wpsCustomData">
          <wpsCustomData:docfieldStart id="2" docfieldname="发文顺序号" hidden="0" print="1" readonly="0" index="3"/>
        </mc:Choice>
      </mc:AlternateContent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1</w:t>
      </w:r>
      <mc:AlternateContent>
        <mc:Choice Requires="wpsCustomData">
          <wpsCustomData:docfieldEnd id="2"/>
        </mc:Choice>
      </mc:AlternateContent>
      <w:r>
        <w:rPr>
          <w:rFonts w:hint="eastAsia" w:ascii="Times New Roman" w:hAnsi="Times New Roman" w:eastAsia="方正仿宋_GBK"/>
          <w:sz w:val="32"/>
          <w:szCs w:val="32"/>
        </w:rPr>
        <w:t>号</w:t>
      </w:r>
    </w:p>
    <w:p w14:paraId="08C2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</w:pPr>
    </w:p>
    <w:p w14:paraId="119E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各区县（自治县）城市管理部门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</w:rPr>
        <w:t>西部科学城重庆高新区、万盛经开区城市管理部门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，局属各单位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eastAsia="zh-CN"/>
        </w:rPr>
        <w:t>，有关单位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：</w:t>
      </w:r>
    </w:p>
    <w:p w14:paraId="630D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/>
          <w:bCs/>
          <w:color w:val="000000"/>
          <w:kern w:val="0"/>
          <w:sz w:val="32"/>
          <w:szCs w:val="32"/>
        </w:rPr>
        <w:t>《重庆市城市公园配套服务项目经营管理办法（试行）》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已经市城市管理局202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  <w:t>度第</w:t>
      </w:r>
      <w:r>
        <w:rPr>
          <w:rFonts w:hint="eastAsia" w:ascii="Times New Roman" w:hAnsi="Times New Roman" w:eastAsia="方正仿宋_GBK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  <w:t>次局长办公会议审议通过，现印发给你们，请认真贯彻执行。</w:t>
      </w:r>
    </w:p>
    <w:p w14:paraId="0340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</w:pPr>
    </w:p>
    <w:p w14:paraId="45C4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</w:pPr>
    </w:p>
    <w:p w14:paraId="4A9D21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重庆市城市管理局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 w14:paraId="744662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bCs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 w14:paraId="0CA69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t xml:space="preserve">    （此件公开发布）</w:t>
      </w:r>
    </w:p>
    <w:p w14:paraId="58FCFE64">
      <w:pP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5D4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 w14:paraId="42A6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重庆市城市公园配套服务项目经营</w:t>
      </w:r>
    </w:p>
    <w:p w14:paraId="48DA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管理办法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（试行）</w:t>
      </w:r>
    </w:p>
    <w:p w14:paraId="1F36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pacing w:val="15"/>
          <w:sz w:val="32"/>
          <w:szCs w:val="32"/>
          <w:highlight w:val="none"/>
        </w:rPr>
      </w:pPr>
    </w:p>
    <w:p w14:paraId="39209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第一条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vertAlign w:val="baseline"/>
          <w:lang w:val="en-US" w:eastAsia="zh-CN" w:bidi="ar-SA"/>
        </w:rPr>
        <w:t>提升超大城市现代化治理水平，规范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vertAlign w:val="baseline"/>
          <w:lang w:val="en-US" w:eastAsia="zh-CN" w:bidi="ar-SA"/>
        </w:rPr>
        <w:t>公园配套服务项目经营活动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合理拓展城市公园配套服务功能，进一步提高城市公园服务质量和效率，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向广大游客提供公平、安全、优质的服务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vertAlign w:val="baseline"/>
          <w:lang w:val="en-US" w:eastAsia="zh-CN" w:bidi="ar-SA"/>
        </w:rPr>
        <w:t>促进城市公园事业健康、有序发展，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根据有关法律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法规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规章和标准，制定本办法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  <w:t>。</w:t>
      </w:r>
    </w:p>
    <w:p w14:paraId="1942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第二条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主要适用于纳入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公园名录的各类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公园。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包括综合公园、专类公园、社区公园、游园、城市生态公园。</w:t>
      </w:r>
    </w:p>
    <w:p w14:paraId="564F7AA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本办法所称城市公园配套服务项目经营，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是指城市公园管理机构或通过市场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机制选择的经营者按照有关法律、法规规定，投资、建设、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管理或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运营城市公园内配套服务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val="en-US" w:eastAsia="zh-CN"/>
        </w:rPr>
        <w:t>项目的行为。</w:t>
      </w:r>
    </w:p>
    <w:p w14:paraId="6248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第四条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公园配套服务项目应以游客需求为导向，以大众服务为主。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配套服务项目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主要包括餐饮零售、运动健身、休闲娱乐、科普教育、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bidi="ar-SA"/>
        </w:rPr>
        <w:t>文化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体验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特色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游览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智慧管理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、其他新兴业态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。经营项目应按规定明码标价。</w:t>
      </w:r>
    </w:p>
    <w:p w14:paraId="079CE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园林绿化主管部门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负责指导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全市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公园配套服务项目管理工作，具体监督管理市属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城市公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园配套服务项目。</w:t>
      </w:r>
    </w:p>
    <w:p w14:paraId="2CBE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各区县（自治县）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园林绿化主管部门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负责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监督管理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本行政区域内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公园配套服务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  <w:t>项目。</w:t>
      </w:r>
    </w:p>
    <w:p w14:paraId="5E93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负责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授权管理范围内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公园配套服务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的实施和管理工作。具体开展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公园配套服务项目的日常巡查、安全检查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，并做好记录形成基础台账；督促取得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公园配套服务项目经营权的经营者</w:t>
      </w:r>
      <w:r>
        <w:rPr>
          <w:rFonts w:hint="default" w:ascii="Times New Roman" w:hAnsi="Times New Roman" w:eastAsia="方正仿宋_GBK"/>
          <w:color w:val="auto"/>
          <w:spacing w:val="15"/>
          <w:sz w:val="32"/>
          <w:szCs w:val="32"/>
          <w:highlight w:val="none"/>
        </w:rPr>
        <w:t>落实安全责任并定期开展安全管理培训，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遵守其所在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公园的管理规定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eastAsia="zh-CN"/>
        </w:rPr>
        <w:t>。</w:t>
      </w:r>
    </w:p>
    <w:p w14:paraId="670D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00" w:firstLineChars="200"/>
        <w:jc w:val="left"/>
        <w:textAlignment w:val="auto"/>
        <w:outlineLvl w:val="0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优先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使用城市公园内现有游憩与服务建筑，通过微更新及综合利用等手段提升服务品质水平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/>
        </w:rPr>
        <w:t>游憩和服务建筑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/>
        </w:rPr>
        <w:t>用地比例应符合国家及地方规范和标准。</w:t>
      </w:r>
    </w:p>
    <w:p w14:paraId="3B05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根据节假日等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高峰时段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需求，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可利用室外场所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适当增加移动类设施补充配套服务设施的短缺。可开展经营的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室外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场地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、草坪、水面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范围由城市公园管理机构结合实际情况划定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，并满足下列要求：</w:t>
      </w:r>
    </w:p>
    <w:p w14:paraId="4B19E0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利用园路、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vertAlign w:val="baseline"/>
          <w:lang w:val="en-US" w:eastAsia="zh-CN"/>
        </w:rPr>
        <w:t>铺装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等场地开展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经营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活动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不得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妨碍园路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畅通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、游客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通行安全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以及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公共设施正常使用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  <w:t>。</w:t>
      </w:r>
    </w:p>
    <w:p w14:paraId="62C33F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利用运动场开展文体类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经营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活动，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bidi="ar"/>
        </w:rPr>
        <w:t>应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保障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bidi="ar"/>
        </w:rPr>
        <w:t>非高峰时段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对公众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bidi="ar"/>
        </w:rPr>
        <w:t>免费开放，提高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运动场地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bidi="ar"/>
        </w:rPr>
        <w:t>利用率。</w:t>
      </w:r>
    </w:p>
    <w:p w14:paraId="4D78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三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bidi="ar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利用草坪开展文创市集、研学展览、体育健身、亲子活动等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经营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活动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须在开放共享草坪区域内划定，合理管控活动类型及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客流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承载量，不得过度踩踏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活动结束后，活动举办方应当负责清理现场，恢复原状。</w:t>
      </w:r>
    </w:p>
    <w:p w14:paraId="7D38F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bidi="ar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四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bidi="ar"/>
        </w:rPr>
        <w:t>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利用水面开展游船、垂钓、水上运动及培训、景观展示等经营活动，应遵守国家及地方规范，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并取得相关主管部门批准同意后开展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，范围划定应避开危险地段，开展夜间水上活动的，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完善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夜间照明设施设备。</w:t>
      </w:r>
    </w:p>
    <w:p w14:paraId="4076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城市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公园配套服务项目设施、场地的设置应当符合已批准的公园规划及有关标准规范要求。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  <w:t>新建、改建、扩建城市公园配套服务设施和场地或改变原类别，由城市公园管理机构向本级城市园林绿化主管部门提交申请，经批准后，组织专家论证并依法办理规划建设审批手续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  <w:t>城市公园管理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  <w:t>机构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  <w:lang w:val="en-US" w:eastAsia="zh-CN"/>
        </w:rPr>
        <w:t>应当逐步完善供水、供电、供气、停车等基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color="auto" w:fill="auto"/>
        </w:rPr>
        <w:t>础设施，为配套服务项目的有序运营提供保障。</w:t>
      </w:r>
    </w:p>
    <w:p w14:paraId="6CE5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综合公园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/>
        </w:rPr>
        <w:t>宜充分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</w:rPr>
        <w:t>设置餐饮、零售、游艺、体育健身等多样化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配套服务项目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。</w:t>
      </w:r>
    </w:p>
    <w:p w14:paraId="066DE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专类公园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配套服务项目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</w:rPr>
        <w:t>设置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应符合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公园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特色和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主题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。</w:t>
      </w:r>
    </w:p>
    <w:p w14:paraId="42A0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社区公园、游园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配套服务项目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u w:val="none"/>
          <w:shd w:val="clear" w:color="auto" w:fill="auto"/>
        </w:rPr>
        <w:t>设置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以满足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日常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游园基础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需求为主，注重便利性和安全性。</w:t>
      </w:r>
    </w:p>
    <w:p w14:paraId="3541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城市生态公园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应在满足日常游憩的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基础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上，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鼓励开展自然教育、户外拓展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山地运动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配套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。</w:t>
      </w:r>
    </w:p>
    <w:p w14:paraId="18089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历史名园、城市公园内文物保护单位、历史建筑、红色资源建筑等应当严格控制经营类型和规模，不得设置与历史文化不相关的内容，应保留一定公共空间面向社会开放，可以适度开展文化展示、传统手工艺体验等配套服务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。</w:t>
      </w:r>
    </w:p>
    <w:p w14:paraId="3440E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bidi="ar"/>
        </w:rPr>
        <w:t>支持和鼓励社会资本进入城市公园配套服务领域，提倡公园配套服务项目品牌化连锁经营、整体打包专业化运营模式。</w:t>
      </w:r>
    </w:p>
    <w:p w14:paraId="69EC2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bidi="ar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公园配套服务项目经营期限应当根据行业特点、经营服务内容、规模、方式等因素综合确定，一般不超过5年。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符合条件的城市公园配套服务项目可实施特许经营。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  <w:t>特许经营者的选定、经营期限等应符合《基础设施和公用事业特许经营管理办法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 w:bidi="ar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  <w:t>等法规规定。</w:t>
      </w:r>
    </w:p>
    <w:p w14:paraId="31684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bidi="ar"/>
        </w:rPr>
        <w:t>城市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公园配套服务项目经营按照以下程序实施：</w:t>
      </w:r>
    </w:p>
    <w:p w14:paraId="4F88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（一）编制项目计划：城市公园管理机构根据公园配套服务的需要，提出经营项目设立申请，制定经营项目设立计划、实施及运行管理方案。</w:t>
      </w:r>
    </w:p>
    <w:p w14:paraId="3596FB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rightChars="0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（二）征求公众意见：城市公园管理机构应采取听证会、媒体公示、园内公示等至少1种形式，将拟定经营项目设立计划、实施及运行管理方案向公众公开，广泛征求意见，接受社会监督。征求的公众意见应当作为方案论证的参考。</w:t>
      </w:r>
    </w:p>
    <w:p w14:paraId="5C03ED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rightChars="0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（三）组织方案论证：由城市公园管理机构组织相关部门和专家，结合公众意见对经营项目实施及运行方案进行论证。论证通过的方案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报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本级城市园林绿化主管部门备案。</w:t>
      </w:r>
    </w:p>
    <w:p w14:paraId="290A1A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rightChars="0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确定经营主体：城市公园管理机构按市场化原则，依法确定公园配套服务经营项目经营主体，并将最终结果向社会公示，接受社会监督。</w:t>
      </w:r>
    </w:p>
    <w:p w14:paraId="0B5A7A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签订经营合同并备案：公示期满签订经营合同，并由城市公园管理机构在签订合同后30日内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进行备案。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重点公园、历史名园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内的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配套服务经营项目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经营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合同应报市城市园林绿化主管部门备案。单项配套服务经营项目工程投资规模超过1000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经营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合同应报市城市园林绿化主管部门备案。上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述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情形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外的经营合同应报本级城市园林绿化主管部门备案。</w:t>
      </w:r>
    </w:p>
    <w:p w14:paraId="53C9BE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（六）业态变更备案：经营期限内，涉及业态变更的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配套服务经营项目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应由城市公园管理机构报本级城市园林绿化主管部门备案。</w:t>
      </w:r>
    </w:p>
    <w:p w14:paraId="41EECA7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上述第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点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情形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lang w:val="en-US" w:eastAsia="zh-CN" w:bidi="ar"/>
        </w:rPr>
        <w:t>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  <w:t>城市公园管理机构针对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3年及3年以下经营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  <w:t>期限、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用地面积低于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150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  <w:t>的配套服务项目可依法简化准入程序。具体简化要求由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本级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 w:bidi="ar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 w:bidi="ar"/>
        </w:rPr>
        <w:t>园林绿化主管部门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bidi="ar"/>
        </w:rPr>
        <w:t>依据相关管理规定自行制定。</w:t>
      </w:r>
    </w:p>
    <w:p w14:paraId="2AD3265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kern w:val="2"/>
          <w:sz w:val="32"/>
          <w:szCs w:val="32"/>
          <w:highlight w:val="none"/>
          <w:lang w:bidi="ar-SA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十三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kern w:val="2"/>
          <w:sz w:val="32"/>
          <w:szCs w:val="32"/>
          <w:highlight w:val="none"/>
          <w:lang w:bidi="ar-SA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参与城市公园配套服务经营的经营者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应当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具备下列条件：</w:t>
      </w:r>
    </w:p>
    <w:p w14:paraId="7EDFD583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具有独立承担民事责任能力的法人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、非法人组织、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自然人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或个体工商户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312B398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法人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、非法人组织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具有良好的商业信誉和健全的管理制度，包括但不限于财务会计制度，并具备与进行经营配套服务项目相当的经济实力；</w:t>
      </w:r>
    </w:p>
    <w:p w14:paraId="683F01EE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自然人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、个体工商户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具有良好的银行资信、财务状况及相应的偿债能力；</w:t>
      </w:r>
    </w:p>
    <w:p w14:paraId="79D78A5A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具有经营项目所必需的设备、专业人员、专业技术能力与商业经营管理能力；</w:t>
      </w:r>
    </w:p>
    <w:p w14:paraId="696CD9F1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有依法缴纳税收和社会保障资金的良好记录；</w:t>
      </w:r>
    </w:p>
    <w:p w14:paraId="61967F43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无违法犯罪记录；</w:t>
      </w:r>
    </w:p>
    <w:p w14:paraId="1EB43C87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法律、法规规定的其他条件。</w:t>
      </w:r>
    </w:p>
    <w:p w14:paraId="534C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城市公园管理机构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应当严格监督配套服务经营活动，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城市公园配套服务项目经营者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不得出现下列行为：</w:t>
      </w:r>
    </w:p>
    <w:p w14:paraId="7F7D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）擅自转让、分包经营项目；</w:t>
      </w:r>
    </w:p>
    <w:p w14:paraId="3042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（二）擅自将所经营的财产进行处置或者抵押；</w:t>
      </w:r>
    </w:p>
    <w:p w14:paraId="0C5D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（三）危及公共利益、公众安全；</w:t>
      </w:r>
    </w:p>
    <w:p w14:paraId="5C76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（四）因经营者自身原因不能提供经营服务；</w:t>
      </w:r>
    </w:p>
    <w:p w14:paraId="0F07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（五）超出经营范围，从事合同约定以外的经营项目；</w:t>
      </w:r>
    </w:p>
    <w:p w14:paraId="02C8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（六）擅自将经营所用的配套服务设施改作其它用途；</w:t>
      </w:r>
    </w:p>
    <w:p w14:paraId="5837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（七）擅自扩大经营面积，私自搭建经营设施；</w:t>
      </w:r>
    </w:p>
    <w:p w14:paraId="3EB9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val="en-US" w:eastAsia="zh-CN"/>
        </w:rPr>
        <w:t>（八）擅自对配套服务设施进行改造装修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；</w:t>
      </w:r>
    </w:p>
    <w:p w14:paraId="2B9A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（九）经营行为不文明，服务态度恶劣且造成严重后果；</w:t>
      </w:r>
    </w:p>
    <w:p w14:paraId="071E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）法律、法规及城市公园管理制度禁止的其他行为。通过招标等形式确定经营者时，应当在招标文件、经营协议等中对上述行为作明确约定。</w:t>
      </w:r>
    </w:p>
    <w:p w14:paraId="071F8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经营期间出现下列情形，并对经营者利益造成实质性损害的，可以根据经营协议的约定进行补偿或适当延长经营合同期：</w:t>
      </w:r>
    </w:p>
    <w:p w14:paraId="28830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（一）因相关法律法规变更、国家政策调整或公共利益需要，需提前终止经营协议、收回经营权；</w:t>
      </w:r>
    </w:p>
    <w:p w14:paraId="2C467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（二）依法征用经营设施或场地；</w:t>
      </w:r>
    </w:p>
    <w:p w14:paraId="3A944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（三）因城市公园改造维修等，严重影响经营活动正常开展；</w:t>
      </w:r>
    </w:p>
    <w:p w14:paraId="1C205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（四）经营协议约定的其它需要进行补偿或延长经营合同期的情形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</w:p>
    <w:p w14:paraId="741FD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default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）因自然灾害等不可抗力导致经营者利益受损的，不适用本条款。</w:t>
      </w:r>
    </w:p>
    <w:p w14:paraId="1506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园林绿化主管部门</w:t>
      </w:r>
      <w:r>
        <w:rPr>
          <w:rFonts w:hint="eastAsia" w:ascii="Times New Roman" w:hAnsi="Times New Roman" w:eastAsia="方正仿宋_GBK" w:cs="Times New Roman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负责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</w:rPr>
        <w:t>建立健全对外租赁经营项目信用评价机制，加强对承租方安全生产、规范经营、文明服务、卫生秩序等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方面的监督管理。</w:t>
      </w:r>
    </w:p>
    <w:p w14:paraId="3958D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对违反经营合同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城市公园管理有关规定或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信用评价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极差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的经营者，城市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园林绿化主管部门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有权要求其限期整改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对拒不整改或整改不到位的，可依据合同终止经营合同。</w:t>
      </w:r>
    </w:p>
    <w:p w14:paraId="429C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十七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公园配套服务项目租金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或分成收入、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特许经营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费用等收益应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实行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规范管理，征得本级财政同意后，可按比例划分为公园发展和财政统筹资金，定向用于公园品质提升和纳入预算补充本级财政收入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"/>
        </w:rPr>
        <w:t>。</w:t>
      </w:r>
    </w:p>
    <w:p w14:paraId="54AF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0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</w:rPr>
        <w:t>公园管理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应当对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城市公园配套建筑及设施的使用建立专项台账，实行“一园一档”管理。</w:t>
      </w:r>
    </w:p>
    <w:p w14:paraId="244A0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/>
          <w:bCs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公园配套服务项目经营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应遵守下列规定：</w:t>
      </w:r>
    </w:p>
    <w:p w14:paraId="130DD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禁止占用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公园配套建筑及设施以租赁、承包、转让、出借、抵押、买断、合资、合作等形式设立私人会所。私人会所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，是指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改变公园内建（构）筑物等公共资源属性，设置高档场所，包括实行会员制的场所、只对少数人开放的场所、违规出租经营的场所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；</w:t>
      </w:r>
    </w:p>
    <w:p w14:paraId="6CEF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禁止占用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公园内亭、台、楼、阁、廊、榭等构筑物公共资源进行经营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；</w:t>
      </w:r>
    </w:p>
    <w:p w14:paraId="4BA99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0"/>
        <w:jc w:val="left"/>
        <w:textAlignment w:val="auto"/>
        <w:outlineLvl w:val="9"/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</w:rPr>
        <w:t>禁止</w:t>
      </w:r>
      <w:r>
        <w:rPr>
          <w:rFonts w:hint="default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</w:rPr>
        <w:t>设置高油烟、高噪音和光污染、水污染的配套服务项目</w:t>
      </w:r>
      <w:r>
        <w:rPr>
          <w:rFonts w:hint="eastAsia" w:ascii="Times New Roman" w:hAnsi="Times New Roman" w:eastAsia="方正仿宋_GBK"/>
          <w:color w:val="auto"/>
          <w:spacing w:val="15"/>
          <w:sz w:val="32"/>
          <w:szCs w:val="32"/>
          <w:highlight w:val="none"/>
          <w:u w:val="none"/>
          <w:lang w:eastAsia="zh-CN"/>
        </w:rPr>
        <w:t>；</w:t>
      </w:r>
    </w:p>
    <w:p w14:paraId="4AAC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城市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公园内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配套服务项目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用房的公共区域应当向公众开放，除安全需要外，禁止设立“游人止步”、“禁止入内”等不当牌示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；</w:t>
      </w:r>
    </w:p>
    <w:p w14:paraId="3D13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不得擅自新建、改建、扩建公园配套服务设施和场地，不得因经营而改变或破坏公园内建（构）筑物原有风貌和格局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color w:val="auto"/>
          <w:spacing w:val="15"/>
          <w:sz w:val="32"/>
          <w:szCs w:val="32"/>
          <w:highlight w:val="none"/>
          <w:u w:val="none"/>
        </w:rPr>
        <w:t>法律、法规禁止的其他情形。</w:t>
      </w:r>
    </w:p>
    <w:p w14:paraId="64DB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" w:firstLine="703" w:firstLineChars="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第二十条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本办法自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2026年4月1日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起施行。本办法实施之前已依法订立经营协议的，按照原定协议执行。</w:t>
      </w:r>
    </w:p>
    <w:p w14:paraId="5FA8C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default" w:ascii="Times New Roman" w:hAnsi="Times New Roman" w:eastAsia="方正仿宋_GBK"/>
          <w:bCs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法律、法规对城市公园配套服务经营另有规定的，从其规定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bookmarkStart w:id="0" w:name="_GoBack"/>
      <w:bookmarkEnd w:id="0"/>
    </w:p>
    <w:p w14:paraId="4E536666">
      <w:pPr>
        <w:pStyle w:val="6"/>
        <w:spacing w:line="300" w:lineRule="exact"/>
        <w:ind w:right="210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 w14:paraId="02B7E164"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C3637"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0343B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0343B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6448EB5">
    <w:pPr>
      <w:pStyle w:val="11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重庆市城市管理局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 w14:paraId="413F5A7D"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44081">
    <w:pPr>
      <w:pStyle w:val="11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39F64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39F64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B86459">
    <w:pPr>
      <w:pStyle w:val="11"/>
      <w:rPr>
        <w:sz w:val="32"/>
      </w:rPr>
    </w:pPr>
  </w:p>
  <w:p w14:paraId="682EAF18">
    <w:pPr>
      <w:pStyle w:val="11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99D68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36FB1D2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重庆市城市管理局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9AE5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28452"/>
    <w:multiLevelType w:val="singleLevel"/>
    <w:tmpl w:val="502284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47FA3D"/>
    <w:multiLevelType w:val="singleLevel"/>
    <w:tmpl w:val="5F47FA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ZDYzMjc2N2Y2N2I0MzQzNjc1ZjY2MWIxOWJlZWMifQ=="/>
  </w:docVars>
  <w:rsids>
    <w:rsidRoot w:val="00172A27"/>
    <w:rsid w:val="019E71BD"/>
    <w:rsid w:val="01E93D58"/>
    <w:rsid w:val="04B679C3"/>
    <w:rsid w:val="05F07036"/>
    <w:rsid w:val="05F8079C"/>
    <w:rsid w:val="06E00104"/>
    <w:rsid w:val="080F63D8"/>
    <w:rsid w:val="08553EBC"/>
    <w:rsid w:val="09341458"/>
    <w:rsid w:val="098254C2"/>
    <w:rsid w:val="0A766EDE"/>
    <w:rsid w:val="0AD64BE8"/>
    <w:rsid w:val="0B0912D7"/>
    <w:rsid w:val="0BFFAF0E"/>
    <w:rsid w:val="0E025194"/>
    <w:rsid w:val="0EEF0855"/>
    <w:rsid w:val="11DB7C71"/>
    <w:rsid w:val="14EB1960"/>
    <w:rsid w:val="152D2DCA"/>
    <w:rsid w:val="176CC56B"/>
    <w:rsid w:val="187168EA"/>
    <w:rsid w:val="196673CA"/>
    <w:rsid w:val="1CF734C9"/>
    <w:rsid w:val="1DE4CA33"/>
    <w:rsid w:val="1DEC284C"/>
    <w:rsid w:val="1E6523AC"/>
    <w:rsid w:val="1F53416F"/>
    <w:rsid w:val="22440422"/>
    <w:rsid w:val="22BB4BBB"/>
    <w:rsid w:val="25EB1AF4"/>
    <w:rsid w:val="264B3124"/>
    <w:rsid w:val="294E760F"/>
    <w:rsid w:val="2DD05FE1"/>
    <w:rsid w:val="2EAE3447"/>
    <w:rsid w:val="31A15F24"/>
    <w:rsid w:val="36FB1DF0"/>
    <w:rsid w:val="395347B5"/>
    <w:rsid w:val="39A232A0"/>
    <w:rsid w:val="39E745AA"/>
    <w:rsid w:val="3B5A6BBB"/>
    <w:rsid w:val="3BBD09BC"/>
    <w:rsid w:val="3CA154E3"/>
    <w:rsid w:val="3DCC104E"/>
    <w:rsid w:val="3DFF981E"/>
    <w:rsid w:val="3EDA13A6"/>
    <w:rsid w:val="3EF17C38"/>
    <w:rsid w:val="3F1E6183"/>
    <w:rsid w:val="3F566769"/>
    <w:rsid w:val="3FF56C14"/>
    <w:rsid w:val="417B75E9"/>
    <w:rsid w:val="42430A63"/>
    <w:rsid w:val="42BE3F79"/>
    <w:rsid w:val="42F058B7"/>
    <w:rsid w:val="436109F6"/>
    <w:rsid w:val="441A38D4"/>
    <w:rsid w:val="4504239D"/>
    <w:rsid w:val="45DFAF28"/>
    <w:rsid w:val="4A797660"/>
    <w:rsid w:val="4BC77339"/>
    <w:rsid w:val="4C9236C5"/>
    <w:rsid w:val="4DFBC762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7F701E"/>
    <w:rsid w:val="572C6D10"/>
    <w:rsid w:val="5BF3D58F"/>
    <w:rsid w:val="5DC34279"/>
    <w:rsid w:val="5FCD688E"/>
    <w:rsid w:val="5FF9BDAA"/>
    <w:rsid w:val="608816D1"/>
    <w:rsid w:val="60EF4E7F"/>
    <w:rsid w:val="648B0A32"/>
    <w:rsid w:val="65612227"/>
    <w:rsid w:val="658F6764"/>
    <w:rsid w:val="665233C1"/>
    <w:rsid w:val="69AC0D42"/>
    <w:rsid w:val="6AD9688B"/>
    <w:rsid w:val="6B68303F"/>
    <w:rsid w:val="6D0E3F22"/>
    <w:rsid w:val="6F850F57"/>
    <w:rsid w:val="71BD8768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E7D5D4E"/>
    <w:rsid w:val="7EDBAE68"/>
    <w:rsid w:val="7F5D017F"/>
    <w:rsid w:val="7FA300A3"/>
    <w:rsid w:val="7FCC2834"/>
    <w:rsid w:val="7FF949E1"/>
    <w:rsid w:val="92DD1CEF"/>
    <w:rsid w:val="9B3E4B6F"/>
    <w:rsid w:val="A77C52D6"/>
    <w:rsid w:val="ABDEA1AC"/>
    <w:rsid w:val="ACFF5225"/>
    <w:rsid w:val="BBF52682"/>
    <w:rsid w:val="BD9D1569"/>
    <w:rsid w:val="BFE3F627"/>
    <w:rsid w:val="DFAFDC30"/>
    <w:rsid w:val="EBDDA9D0"/>
    <w:rsid w:val="F05B4F69"/>
    <w:rsid w:val="F7F902F6"/>
    <w:rsid w:val="F97D9566"/>
    <w:rsid w:val="FDFF411C"/>
    <w:rsid w:val="FF212787"/>
    <w:rsid w:val="FF4F7B8E"/>
    <w:rsid w:val="FFDE5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723" w:firstLineChars="200"/>
      <w:outlineLvl w:val="1"/>
    </w:pPr>
    <w:rPr>
      <w:rFonts w:ascii="Calibri" w:hAnsi="Calibri" w:eastAsia="方正黑体_GBK" w:cs="Times New Roman"/>
      <w:b/>
      <w:sz w:val="30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toc 3"/>
    <w:basedOn w:val="1"/>
    <w:next w:val="1"/>
    <w:qFormat/>
    <w:uiPriority w:val="0"/>
    <w:pPr>
      <w:wordWrap w:val="0"/>
      <w:spacing w:line="240" w:lineRule="auto"/>
      <w:ind w:left="1193" w:firstLine="0" w:firstLineChars="0"/>
    </w:pPr>
    <w:rPr>
      <w:rFonts w:ascii="宋体" w:hAnsi="宋体" w:eastAsia="宋体" w:cs="Times New Roman"/>
      <w:sz w:val="21"/>
      <w:szCs w:val="24"/>
    </w:rPr>
  </w:style>
  <w:style w:type="paragraph" w:styleId="9">
    <w:name w:val="Plain Text"/>
    <w:basedOn w:val="1"/>
    <w:qFormat/>
    <w:uiPriority w:val="0"/>
    <w:pPr>
      <w:spacing w:line="400" w:lineRule="exact"/>
      <w:ind w:firstLine="200" w:firstLineChars="200"/>
    </w:pPr>
    <w:rPr>
      <w:rFonts w:ascii="宋体" w:hAnsi="Courier New" w:eastAsia="方正仿宋_GBK" w:cs="Times New Roman"/>
      <w:sz w:val="3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semiHidden/>
    <w:unhideWhenUsed/>
    <w:qFormat/>
    <w:uiPriority w:val="99"/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9">
    <w:name w:val="NormalCharacter"/>
    <w:qFormat/>
    <w:uiPriority w:val="0"/>
    <w:rPr>
      <w:rFonts w:ascii="Times New Roman" w:hAnsi="Times New Roman" w:eastAsia="宋体" w:cs="Times New Roman"/>
    </w:rPr>
  </w:style>
  <w:style w:type="paragraph" w:styleId="20">
    <w:name w:val="List Paragraph"/>
    <w:basedOn w:val="1"/>
    <w:unhideWhenUsed/>
    <w:qFormat/>
    <w:uiPriority w:val="99"/>
    <w:pPr>
      <w:spacing w:line="400" w:lineRule="exact"/>
      <w:ind w:firstLine="420" w:firstLineChars="200"/>
    </w:pPr>
    <w:rPr>
      <w:rFonts w:ascii="方正仿宋_GBK" w:hAnsi="方正仿宋_GBK" w:eastAsia="方正仿宋_GBK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4313</Words>
  <Characters>4333</Characters>
  <Lines>1</Lines>
  <Paragraphs>1</Paragraphs>
  <TotalTime>1</TotalTime>
  <ScaleCrop>false</ScaleCrop>
  <LinksUpToDate>false</LinksUpToDate>
  <CharactersWithSpaces>4414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2021-09-14T10:41:00Z</dcterms:created>
  <dc:creator>t</dc:creator>
  <cp:lastModifiedBy>冉骏飞</cp:lastModifiedBy>
  <cp:lastPrinted>2023-05-27T16:40:00Z</cp:lastPrinted>
  <dcterms:modified xsi:type="dcterms:W3CDTF">2026-02-11T08:44:58Z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6B3EDA4E4E7740DCBD79BC89561C6159_13</vt:lpwstr>
  </property>
  <property fmtid="{D5CDD505-2E9C-101B-9397-08002B2CF9AE}" pid="4" name="KSOTemplateDocerSaveRecord">
    <vt:lpwstr>eyJoZGlkIjoiNzY4Zjc0YWVlZmY2YThhODU3YzdlMTE5YmNmNmI2ZWYiLCJ1c2VySWQiOiIyOTExMTgxMTgifQ==</vt:lpwstr>
  </property>
</Properties>
</file>