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重庆市城市管理局关于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印发重庆市城市道路人行道附属设施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空间设置管理规定的通知</w:t>
      </w:r>
      <w:bookmarkEnd w:id="0"/>
    </w:p>
    <w:p>
      <w:pPr>
        <w:spacing w:line="600" w:lineRule="exact"/>
        <w:jc w:val="center"/>
        <w:rPr>
          <w:rFonts w:ascii="Times New Roman" w:hAnsi="Times New Roman" w:eastAsia="方正仿宋_GBK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sz w:val="32"/>
          <w:szCs w:val="32"/>
        </w:rPr>
        <w:t>渝城管局发〔2022〕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spacing w:line="60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spacing w:line="520" w:lineRule="exact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各区县（自治县）城市管理局，两江新区、西部科学城重庆高新区、万盛经开区城市管理局，有关单位：</w:t>
      </w:r>
    </w:p>
    <w:p>
      <w:pPr>
        <w:pStyle w:val="3"/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《重庆市城市道路人行道附属设施空间设置管理规定》已经市城市管理局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2022年度第15次局长办公会议审议通过，现印发给你们，请遵照执行。</w:t>
      </w:r>
    </w:p>
    <w:p>
      <w:pPr>
        <w:pStyle w:val="3"/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3"/>
        <w:wordWrap w:val="0"/>
        <w:spacing w:line="520" w:lineRule="exact"/>
        <w:ind w:firstLine="4800" w:firstLineChars="1500"/>
        <w:jc w:val="right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重庆市城市管理局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"/>
        </w:rPr>
        <w:t xml:space="preserve">        </w:t>
      </w:r>
    </w:p>
    <w:p>
      <w:pPr>
        <w:pStyle w:val="3"/>
        <w:wordWrap w:val="0"/>
        <w:spacing w:line="520" w:lineRule="exact"/>
        <w:ind w:firstLine="4800" w:firstLineChars="1500"/>
        <w:jc w:val="right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2022年10月19日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"/>
        </w:rPr>
        <w:t xml:space="preserve">        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重庆市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城市道路人行道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附属设施空间设置管理规定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规范我市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城市道路人行道附属设施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空间设置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管理，提升人行道服务功能，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净化人行道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空间，根据《重庆市市政设施管理条例》，结合本市实际情况，制定本规定。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本市城市（含建制镇）规划区内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城市道路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人行道附属设施的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空间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规划、设置管理等活动，适用本规定。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本规定所称人行道附属设施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是指占用人行道地上或地下空间而设置的各类附属设施，按照配套建设及功能属性主要分为两类：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一类设施（同步人行道建设，优先配套的设施）：供水、排水、电力、燃气、通讯、照明、交通监控、消防、轨道站、公交港、路名牌、交通指示牌、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地名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标志牌、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安全警示标志牌、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无障碍设施等。</w:t>
      </w:r>
    </w:p>
    <w:p>
      <w:pPr>
        <w:pStyle w:val="3"/>
        <w:spacing w:line="600" w:lineRule="exact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二类设施（后期增设，提供可选服务的设施）：环卫设施、广告、座椅、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直饮水、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隔离设施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、管线配建箱体、5G基站、固定亭棚屋站、充换电基础设施、其他监控设施等。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人行道附属设施空间设置管理应当遵循统筹规划、科学设置、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总量控制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、分级管理、协调统一的原则。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一类设施的设置优先于二类设施，二类设施的设置要充分整合利用原有附属设施的空间。</w:t>
      </w:r>
    </w:p>
    <w:p>
      <w:pPr>
        <w:pStyle w:val="3"/>
        <w:spacing w:line="600" w:lineRule="exact"/>
        <w:ind w:firstLine="640" w:firstLineChars="200"/>
        <w:rPr>
          <w:rFonts w:hint="default" w:ascii="Times New Roman" w:hAnsi="Times New Roman"/>
          <w:b w:val="0"/>
          <w:bCs w:val="0"/>
          <w:color w:val="auto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带有盈利性质的非公益性附属设施在人行道上设置应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按照市政公共资源有偿使用管理有关要求支付相应设施占用费，费用上缴同级财政。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市城市管理局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负责对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本市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城市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道路人行道附属设施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空间设置管理进行行业监督、业务指导，统筹协调中心城区重点路段、跨区人行道附属设施空间设置管理工作，负责中心城区由社会企业管养的跨江大桥、隧道的人行道附属设施空间设置管理工作。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区县（自治县）城市管理局负责本辖区范围内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城市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道路人行道附属设施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空间设置管理工作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一类人行道附属设施应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符合相关规划要求，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尽量做到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与道路主体工程同时设计、同时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施工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同时验收。如因客观原因属于后期增设的，应具备相关手续，并向具有人行道管辖权的城市管理部门提出申请，按照城市道路占道和挖掘等行政审批流程办理行政许可。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二类人行道附属设施应当由设置单位向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具有人行道管辖权的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城市管理部门提出申请，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按照城市道路占道和挖掘等行政审批流程办理行政许可，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并提供以下材料：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（一）申请表；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（二）涉及既有设施的设计施工图；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（三）设施设置在人行道上的现场示意图，以及相邻三十米范围内与其他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同类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设施的相关位置图；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（四）项目实施依据及相关承诺；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（五）涉及交通安全管理的告知承诺书（可选）；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（六）设施维护管理单位现场查勘意见（水电气等市政接入外线工程并联审批项目除外）。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人行道附属设施空间设置应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与周边环境相协调，符合本市《重庆市市政设施管理条例》《城市道路人行道设施设置规范》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《重庆市城市道路全要素设计导则》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法规和行业技术标准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，并满足以下要求：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（一）应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科学、合理设置人行道附属设施全要素，严控附属设施总量，不应影响行人、交通安全和地下管线的运行与管理。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（二）不应侵占人行道有效通行空间的净宽、净高等限界，并保证设置后步行带宽度不小于2米，部分困难地段设置宽度可适当放低；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（三）鼓励附属设施集约化设置，利用多杆合一、多箱并集、架空线入地等方式净化人行道空间。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（四）设置间距应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规范、协调，并保持安全间距。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）不应擅自改变附属设施功能性质，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不得擅自利用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箱体、杆件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等作为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广告用途。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与人行道同步新建的人行道附属设施应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纳入人行道主体工程同步竣工验收。后期增设的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人行道附属设施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竣工后应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通知城市管理部门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共同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参与竣工验收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，经验收合格后方可投入使用。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经占用、挖掘后的人行道，占用、挖掘结束后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人行道附属设施建设单位应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及时清理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并恢复占用、挖掘的人行道，通知城市管理部门对恢复后的人行道进行验收。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第十条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人行道改、扩建或者大修时，城市管理部门应当提前三十日书面通知设置单位；设置单位在接到书面通知后，应当按照通知要求配合拆除或者迁移其在人行道上设置的设施。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在改、扩建或者大修后的人行道上仍然需要设置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附属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设施的，设置单位应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同步实施附属设施的改造工作。如设施数量或空间发生较大变化的，应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按照新增附属设施流程重新申报。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附属设施权属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单位应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负责各自附属设施的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安全和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维护管理工作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应当建立附属设施管理方案，严格执行国家和本市人行道养护、维修技术规范，定期对人行道附属设施进行检测、养护和维修，保证人行道附属设施处于正常使用状态。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人行道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附属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设施超过其设计使用年限的，设置单位应当及时予以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拆除或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更新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改造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属地城市管理部门应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强化日常巡检，建立附属设施常态化管理巡查制度及接报制度，并纳入城市网格化管理，督促有关单位和个人依法使用人行道附属设施。对发现存在的损毁、老化、丢失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或影响市容市貌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等问题，应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及时通知设置单位进行限期整改，逾期不改正的，由相关部门依法实施行政处罚。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设置单位应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建立人行道附属设施突发事件应急处置预案，并服从属地城市管理部门的调度指挥。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市、区县（自治县）城市管理局应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积极推进人行道附属设施管理信息化建设，建立信息化管理平台，对人行道附属设施进行编码建档管理和智能化监控，并接入市信息化城市管理系统，保证与既有监测资料充分共享。</w:t>
      </w:r>
    </w:p>
    <w:p>
      <w:pPr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设置单位需要拆除附属设施的，应当事先书面告知城市管理部门。城市管理部门接到书面告知后，应当与设置单位约定拆除设施的时间，并在设施拆除时到现场监督。设施废除后，设置单位应当及时恢复人行道原状，并通知城市管理部门予以确认。</w:t>
      </w:r>
    </w:p>
    <w:p>
      <w:pPr>
        <w:spacing w:line="600" w:lineRule="exact"/>
        <w:ind w:firstLine="640" w:firstLineChars="200"/>
        <w:outlineLvl w:val="1"/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自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2023年1月1日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起施行。</w:t>
      </w:r>
    </w:p>
    <w:p>
      <w:pPr>
        <w:pStyle w:val="2"/>
        <w:spacing w:line="300" w:lineRule="exact"/>
        <w:ind w:left="210" w:right="210"/>
        <w:rPr>
          <w:rFonts w:hint="eastAsia"/>
          <w:lang w:eastAsia="zh-CN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3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5" w:type="default"/>
      <w:footerReference r:id="rId6" w:type="default"/>
      <w:type w:val="continuous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重庆市城市管理局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rPr>
        <w:sz w:val="32"/>
      </w:rPr>
    </w:pP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重庆市城市管理局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ZDYzMjc2N2Y2N2I0MzQzNjc1ZjY2MWIxOWJlZWMifQ=="/>
  </w:docVars>
  <w:rsids>
    <w:rsidRoot w:val="00172A27"/>
    <w:rsid w:val="019E71BD"/>
    <w:rsid w:val="01E93D58"/>
    <w:rsid w:val="04B679C3"/>
    <w:rsid w:val="05F07036"/>
    <w:rsid w:val="05F8079C"/>
    <w:rsid w:val="06E00104"/>
    <w:rsid w:val="080F63D8"/>
    <w:rsid w:val="08553EBC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64B3124"/>
    <w:rsid w:val="2DD05FE1"/>
    <w:rsid w:val="2EAE3447"/>
    <w:rsid w:val="31A15F24"/>
    <w:rsid w:val="36FB1DF0"/>
    <w:rsid w:val="395347B5"/>
    <w:rsid w:val="39A232A0"/>
    <w:rsid w:val="39E745AA"/>
    <w:rsid w:val="3B5A6BBB"/>
    <w:rsid w:val="3BBD09BC"/>
    <w:rsid w:val="3CA154E3"/>
    <w:rsid w:val="3DCC104E"/>
    <w:rsid w:val="3DFF981E"/>
    <w:rsid w:val="3EDA13A6"/>
    <w:rsid w:val="3F1E6183"/>
    <w:rsid w:val="3F566769"/>
    <w:rsid w:val="3FF56C14"/>
    <w:rsid w:val="417B75E9"/>
    <w:rsid w:val="42430A63"/>
    <w:rsid w:val="42BE3F79"/>
    <w:rsid w:val="42F058B7"/>
    <w:rsid w:val="436109F6"/>
    <w:rsid w:val="441A38D4"/>
    <w:rsid w:val="4504239D"/>
    <w:rsid w:val="4A797660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67F701E"/>
    <w:rsid w:val="572C6D10"/>
    <w:rsid w:val="5DC34279"/>
    <w:rsid w:val="5FCD688E"/>
    <w:rsid w:val="5FF9BDAA"/>
    <w:rsid w:val="608816D1"/>
    <w:rsid w:val="60EF4E7F"/>
    <w:rsid w:val="648B0A32"/>
    <w:rsid w:val="65612227"/>
    <w:rsid w:val="658F6764"/>
    <w:rsid w:val="665233C1"/>
    <w:rsid w:val="69AC0D42"/>
    <w:rsid w:val="6AD9688B"/>
    <w:rsid w:val="6B68303F"/>
    <w:rsid w:val="6D0E3F22"/>
    <w:rsid w:val="6F850F57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5D017F"/>
    <w:rsid w:val="7FA300A3"/>
    <w:rsid w:val="7FCC2834"/>
    <w:rsid w:val="7FF949E1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semiHidden/>
    <w:unhideWhenUsed/>
    <w:qFormat/>
    <w:uiPriority w:val="99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2458</Words>
  <Characters>2500</Characters>
  <Lines>1</Lines>
  <Paragraphs>1</Paragraphs>
  <TotalTime>1</TotalTime>
  <ScaleCrop>false</ScaleCrop>
  <LinksUpToDate>false</LinksUpToDate>
  <CharactersWithSpaces>2880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2021-09-11T10:41:00Z</dcterms:created>
  <dc:creator>t</dc:creator>
  <cp:lastModifiedBy>Administrator</cp:lastModifiedBy>
  <cp:lastPrinted>2022-06-07T00:09:00Z</cp:lastPrinted>
  <dcterms:modified xsi:type="dcterms:W3CDTF">2022-10-24T12:26:28Z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BE9218A970C04CF99826E0835D5B3E1A</vt:lpwstr>
  </property>
</Properties>
</file>